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490C" w:rsidRDefault="00F2490C" w:rsidP="00F2490C">
      <w:pPr>
        <w:pStyle w:val="paragraph"/>
        <w:spacing w:before="0" w:beforeAutospacing="0" w:after="0" w:afterAutospacing="0"/>
        <w:textAlignment w:val="baseline"/>
        <w:rPr>
          <w:rFonts w:ascii="Segoe UI" w:hAnsi="Segoe UI" w:cs="Segoe UI"/>
          <w:sz w:val="18"/>
          <w:szCs w:val="18"/>
        </w:rPr>
      </w:pPr>
      <w:r>
        <w:rPr>
          <w:rStyle w:val="normaltextrun"/>
          <w:b/>
          <w:bCs/>
        </w:rPr>
        <w:t>Fire Flow</w:t>
      </w:r>
      <w:r>
        <w:rPr>
          <w:rStyle w:val="eop"/>
        </w:rPr>
        <w:t> </w:t>
      </w:r>
    </w:p>
    <w:p w:rsidR="00F2490C" w:rsidRDefault="00F2490C" w:rsidP="00F2490C">
      <w:pPr>
        <w:pStyle w:val="paragraph"/>
        <w:shd w:val="clear" w:color="auto" w:fill="FFFFFF"/>
        <w:spacing w:before="0" w:beforeAutospacing="0" w:after="0" w:afterAutospacing="0"/>
        <w:ind w:firstLine="720"/>
        <w:jc w:val="both"/>
        <w:textAlignment w:val="baseline"/>
        <w:rPr>
          <w:rFonts w:ascii="Segoe UI" w:hAnsi="Segoe UI" w:cs="Segoe UI"/>
          <w:sz w:val="18"/>
          <w:szCs w:val="18"/>
        </w:rPr>
      </w:pPr>
      <w:r>
        <w:rPr>
          <w:rStyle w:val="normaltextrun"/>
        </w:rPr>
        <w:t>Fire flow must be calculated to comply with the principal control procedures utilized to minimize potential fire and explosion incidents. The ISO Guide for Determination of Needed Fire Flow was utilized to calculate the desirable fire flow for the town of Grayson. There are many variables that influence the required amount of water for a determinate structure. Buildings are classified based on the type of building material, on the occupancy combustibility factor and on the exposure and communication factor. </w:t>
      </w:r>
      <w:r>
        <w:rPr>
          <w:rStyle w:val="eop"/>
        </w:rPr>
        <w:t> </w:t>
      </w:r>
    </w:p>
    <w:p w:rsidR="00F2490C" w:rsidRDefault="00F2490C" w:rsidP="00F2490C">
      <w:pPr>
        <w:pStyle w:val="paragraph"/>
        <w:spacing w:before="0" w:beforeAutospacing="0" w:after="0" w:afterAutospacing="0"/>
        <w:ind w:firstLine="720"/>
        <w:jc w:val="both"/>
        <w:textAlignment w:val="baseline"/>
        <w:rPr>
          <w:rFonts w:ascii="Segoe UI" w:hAnsi="Segoe UI" w:cs="Segoe UI"/>
          <w:sz w:val="18"/>
          <w:szCs w:val="18"/>
        </w:rPr>
      </w:pPr>
      <w:proofErr w:type="gramStart"/>
      <w:r>
        <w:rPr>
          <w:rStyle w:val="advancedproofingissue"/>
        </w:rPr>
        <w:t>First of all</w:t>
      </w:r>
      <w:proofErr w:type="gramEnd"/>
      <w:r>
        <w:rPr>
          <w:rStyle w:val="normaltextrun"/>
        </w:rPr>
        <w:t>, the buildings that are in Grayson are made out of wood frame</w:t>
      </w:r>
      <w:r>
        <w:rPr>
          <w:rStyle w:val="normaltextrun"/>
          <w:color w:val="FF0000"/>
        </w:rPr>
        <w:t>, </w:t>
      </w:r>
      <w:r>
        <w:rPr>
          <w:rStyle w:val="normaltextrun"/>
          <w:color w:val="FF0000"/>
          <w:shd w:val="clear" w:color="auto" w:fill="FFFFFF"/>
        </w:rPr>
        <w:t>namely, </w:t>
      </w:r>
      <w:r>
        <w:rPr>
          <w:rStyle w:val="normaltextrun"/>
          <w:shd w:val="clear" w:color="auto" w:fill="FFFFFF"/>
        </w:rPr>
        <w:t>a combustible material; therefore, Grayson is considered as a Construction Class 1. </w:t>
      </w:r>
      <w:r>
        <w:rPr>
          <w:rStyle w:val="normaltextrun"/>
        </w:rPr>
        <w:t>The associated factor, F, for the mentioned construction type is </w:t>
      </w:r>
      <w:r>
        <w:rPr>
          <w:rStyle w:val="normaltextrun"/>
          <w:color w:val="FF0000"/>
        </w:rPr>
        <w:t>equal to </w:t>
      </w:r>
      <w:r>
        <w:rPr>
          <w:rStyle w:val="normaltextrun"/>
        </w:rPr>
        <w:t>1.5. For the calculation of the construction factor, the effective area must be utilized. The effective area is considered as the total square foot area of the largest floor in the building</w:t>
      </w:r>
      <w:r w:rsidR="00B02407">
        <w:rPr>
          <w:rStyle w:val="normaltextrun"/>
        </w:rPr>
        <w:t>.</w:t>
      </w:r>
      <w:r>
        <w:rPr>
          <w:rStyle w:val="eop"/>
        </w:rPr>
        <w:t> </w:t>
      </w:r>
    </w:p>
    <w:p w:rsidR="00F2490C" w:rsidRDefault="00F2490C" w:rsidP="00F2490C">
      <w:pPr>
        <w:pStyle w:val="paragraph"/>
        <w:shd w:val="clear" w:color="auto" w:fill="FFFFFF"/>
        <w:spacing w:before="0" w:beforeAutospacing="0" w:after="0" w:afterAutospacing="0"/>
        <w:ind w:firstLine="720"/>
        <w:jc w:val="both"/>
        <w:textAlignment w:val="baseline"/>
        <w:rPr>
          <w:rFonts w:ascii="Segoe UI" w:hAnsi="Segoe UI" w:cs="Segoe UI"/>
          <w:sz w:val="18"/>
          <w:szCs w:val="18"/>
        </w:rPr>
      </w:pPr>
      <w:r>
        <w:rPr>
          <w:rStyle w:val="normaltextrun"/>
        </w:rPr>
        <w:t>The effective area was determined by researching the average size of each type of building with the following assumptions: … example: </w:t>
      </w:r>
      <w:r>
        <w:rPr>
          <w:rStyle w:val="normaltextrun"/>
          <w:color w:val="FF0000"/>
        </w:rPr>
        <w:t>the paper mill is the same size as the furniture factory, the beauty salon is 2.5 times larger than the barber shop based off of the </w:t>
      </w:r>
      <w:proofErr w:type="gramStart"/>
      <w:r>
        <w:rPr>
          <w:rStyle w:val="normaltextrun"/>
          <w:color w:val="FF0000"/>
        </w:rPr>
        <w:t>amount</w:t>
      </w:r>
      <w:proofErr w:type="gramEnd"/>
      <w:r>
        <w:rPr>
          <w:rStyle w:val="normaltextrun"/>
          <w:color w:val="FF0000"/>
        </w:rPr>
        <w:t> of chairs in each building, and the bars are 70% the size of the restaurants. </w:t>
      </w:r>
      <w:proofErr w:type="gramStart"/>
      <w:r>
        <w:rPr>
          <w:rStyle w:val="contextualspellingandgrammarerror"/>
        </w:rPr>
        <w:t>Appendix C,</w:t>
      </w:r>
      <w:proofErr w:type="gramEnd"/>
      <w:r>
        <w:rPr>
          <w:rStyle w:val="normaltextrun"/>
        </w:rPr>
        <w:t> displays the individual square footage used for the calculation of the construction factor. The computed values for each type of building must be rounded up to the nearest 250 </w:t>
      </w:r>
      <w:proofErr w:type="spellStart"/>
      <w:r>
        <w:rPr>
          <w:rStyle w:val="spellingerror"/>
        </w:rPr>
        <w:t>gpm</w:t>
      </w:r>
      <w:proofErr w:type="spellEnd"/>
      <w:r>
        <w:rPr>
          <w:rStyle w:val="normaltextrun"/>
        </w:rPr>
        <w:t>. As stated in the Guide</w:t>
      </w:r>
      <w:r>
        <w:rPr>
          <w:rStyle w:val="normaltextrun"/>
          <w:color w:val="222222"/>
        </w:rPr>
        <w:t> for Determination of Needed Fire Flow,</w:t>
      </w:r>
      <w:r>
        <w:rPr>
          <w:rStyle w:val="normaltextrun"/>
        </w:rPr>
        <w:t> it must be pondered that the construction factor, Ci, shall not exceed 8000 </w:t>
      </w:r>
      <w:proofErr w:type="spellStart"/>
      <w:r>
        <w:rPr>
          <w:rStyle w:val="spellingerror"/>
        </w:rPr>
        <w:t>gpm</w:t>
      </w:r>
      <w:proofErr w:type="spellEnd"/>
      <w:r>
        <w:rPr>
          <w:rStyle w:val="normaltextrun"/>
        </w:rPr>
        <w:t> for construction class 1; however, it shall not be less than 500 </w:t>
      </w:r>
      <w:proofErr w:type="spellStart"/>
      <w:r>
        <w:rPr>
          <w:rStyle w:val="spellingerror"/>
        </w:rPr>
        <w:t>gpm</w:t>
      </w:r>
      <w:proofErr w:type="spellEnd"/>
      <w:r>
        <w:rPr>
          <w:rStyle w:val="normaltextrun"/>
        </w:rPr>
        <w:t> either.</w:t>
      </w:r>
      <w:r>
        <w:rPr>
          <w:rStyle w:val="eop"/>
        </w:rPr>
        <w:t> </w:t>
      </w:r>
    </w:p>
    <w:p w:rsidR="00F2490C" w:rsidRDefault="00F2490C" w:rsidP="00F2490C">
      <w:pPr>
        <w:pStyle w:val="paragraph"/>
        <w:shd w:val="clear" w:color="auto" w:fill="FFFFFF"/>
        <w:spacing w:before="0" w:beforeAutospacing="0" w:after="0" w:afterAutospacing="0"/>
        <w:ind w:firstLine="720"/>
        <w:jc w:val="both"/>
        <w:textAlignment w:val="baseline"/>
        <w:rPr>
          <w:rFonts w:ascii="Segoe UI" w:hAnsi="Segoe UI" w:cs="Segoe UI"/>
          <w:sz w:val="18"/>
          <w:szCs w:val="18"/>
        </w:rPr>
      </w:pPr>
      <w:r>
        <w:rPr>
          <w:rStyle w:val="normaltextrun"/>
        </w:rPr>
        <w:t>Once the type of construction was calculated, the Occupancy Combustibility Factor, Oi, was determined.  Most of the buildings in Grayson are considered as limited combustible and combustible, since the contents of the building have limited to moderate concentrations of combustible materials (</w:t>
      </w:r>
      <w:r>
        <w:rPr>
          <w:rStyle w:val="normaltextrun"/>
          <w:color w:val="222222"/>
        </w:rPr>
        <w:t>Guide for Determination of Needed Fire Flow</w:t>
      </w:r>
      <w:r>
        <w:rPr>
          <w:rStyle w:val="normaltextrun"/>
        </w:rPr>
        <w:t>, </w:t>
      </w:r>
      <w:r>
        <w:rPr>
          <w:rStyle w:val="normaltextrun"/>
          <w:color w:val="222222"/>
        </w:rPr>
        <w:t>2001</w:t>
      </w:r>
      <w:r>
        <w:rPr>
          <w:rStyle w:val="normaltextrun"/>
        </w:rPr>
        <w:t>). However, both industry facilities and the hospital are considered as free burning because their contents constitute an active fuel. The associated occupancy factors for each building are illustrated in appendix C.</w:t>
      </w:r>
      <w:r>
        <w:rPr>
          <w:rStyle w:val="eop"/>
        </w:rPr>
        <w:t> </w:t>
      </w:r>
    </w:p>
    <w:p w:rsidR="00F2490C" w:rsidRDefault="00F2490C" w:rsidP="00F2490C">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Finally, the Exposure and Communication Factor, </w:t>
      </w:r>
      <w:proofErr w:type="gramStart"/>
      <w:r>
        <w:rPr>
          <w:rStyle w:val="contextualspellingandgrammarerror"/>
        </w:rPr>
        <w:t>Xi</w:t>
      </w:r>
      <w:proofErr w:type="gramEnd"/>
      <w:r>
        <w:rPr>
          <w:rStyle w:val="normaltextrun"/>
        </w:rPr>
        <w:t> + Pi, were calculated. </w:t>
      </w:r>
      <w:r>
        <w:rPr>
          <w:rStyle w:val="normaltextrun"/>
          <w:color w:val="FF0000"/>
        </w:rPr>
        <w:t>It was assumed that there are not passageways</w:t>
      </w:r>
      <w:r>
        <w:rPr>
          <w:rStyle w:val="normaltextrun"/>
        </w:rPr>
        <w:t> in the designed buildings; therefore, the communication factor for the calculation of the fire flow is equal to zero. In most of the individual needed fire flow calculations </w:t>
      </w:r>
      <w:r>
        <w:rPr>
          <w:rStyle w:val="normaltextrun"/>
          <w:color w:val="FF0000"/>
        </w:rPr>
        <w:t>it is assumed </w:t>
      </w:r>
      <w:r>
        <w:rPr>
          <w:rStyle w:val="normaltextrun"/>
        </w:rPr>
        <w:t>that the exposure is zero, considering that the buildings are more than 100 feet apart of each other; however, for the hospital and motels, a factor for exposure of 0.22 was determined from </w:t>
      </w:r>
      <w:r>
        <w:rPr>
          <w:rStyle w:val="normaltextrun"/>
          <w:u w:val="single"/>
        </w:rPr>
        <w:t>Table 330.A: Factor for Exposure</w:t>
      </w:r>
      <w:r>
        <w:rPr>
          <w:rStyle w:val="normaltextrun"/>
        </w:rPr>
        <w:t> (</w:t>
      </w:r>
      <w:r>
        <w:rPr>
          <w:rStyle w:val="normaltextrun"/>
          <w:color w:val="222222"/>
        </w:rPr>
        <w:t>Guide for Determination of Needed Fire Flow</w:t>
      </w:r>
      <w:r>
        <w:rPr>
          <w:rStyle w:val="normaltextrun"/>
        </w:rPr>
        <w:t>, </w:t>
      </w:r>
      <w:r>
        <w:rPr>
          <w:rStyle w:val="normaltextrun"/>
          <w:color w:val="222222"/>
        </w:rPr>
        <w:t>200</w:t>
      </w:r>
      <w:r w:rsidR="00B02407">
        <w:rPr>
          <w:rStyle w:val="normaltextrun"/>
          <w:color w:val="222222"/>
        </w:rPr>
        <w:t>8</w:t>
      </w:r>
      <w:bookmarkStart w:id="0" w:name="_GoBack"/>
      <w:bookmarkEnd w:id="0"/>
      <w:r>
        <w:rPr>
          <w:rStyle w:val="normaltextrun"/>
        </w:rPr>
        <w:t>), taking into consideration the stated assumptions in the previous paragraphs. As stated in the Guide</w:t>
      </w:r>
      <w:r>
        <w:rPr>
          <w:rStyle w:val="normaltextrun"/>
          <w:color w:val="222222"/>
        </w:rPr>
        <w:t> for Determination of Needed Fire Flow,</w:t>
      </w:r>
      <w:r>
        <w:rPr>
          <w:rStyle w:val="normaltextrun"/>
        </w:rPr>
        <w:t> it must be considered that the sum of the exposure and communication factor shall not exceed 0.60.</w:t>
      </w:r>
      <w:r>
        <w:rPr>
          <w:rStyle w:val="eop"/>
        </w:rPr>
        <w:t> </w:t>
      </w:r>
    </w:p>
    <w:p w:rsidR="00F2490C" w:rsidRDefault="00F2490C" w:rsidP="00F2490C">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The determined values are substituted in the needed fire flow equation to determine the respective needed fire flow. The calculated fire flow for every type of building is illustrated in appendix C. </w:t>
      </w:r>
      <w:r>
        <w:rPr>
          <w:rStyle w:val="eop"/>
        </w:rPr>
        <w:t> </w:t>
      </w:r>
    </w:p>
    <w:p w:rsidR="00F2490C" w:rsidRDefault="00F2490C" w:rsidP="00F2490C">
      <w:pPr>
        <w:pStyle w:val="paragraph"/>
        <w:shd w:val="clear" w:color="auto" w:fill="FFFFFF"/>
        <w:spacing w:before="0" w:beforeAutospacing="0" w:after="0" w:afterAutospacing="0"/>
        <w:ind w:firstLine="720"/>
        <w:jc w:val="both"/>
        <w:textAlignment w:val="baseline"/>
        <w:rPr>
          <w:rFonts w:ascii="Segoe UI" w:hAnsi="Segoe UI" w:cs="Segoe UI"/>
          <w:sz w:val="18"/>
          <w:szCs w:val="18"/>
        </w:rPr>
      </w:pPr>
      <w:r>
        <w:rPr>
          <w:rStyle w:val="normaltextrun"/>
        </w:rPr>
        <w:t>As clearly noted in the design process, the amount of water required to fight a fire, even if only for a few hours, puts a heavy strain on the contemplated system. Since the fire flow requirements are considerably large relative to other uses, they are the controlling criteria in the design of the water distribution system in Grayson.</w:t>
      </w:r>
      <w:r>
        <w:rPr>
          <w:rStyle w:val="eop"/>
        </w:rPr>
        <w:t> </w:t>
      </w:r>
    </w:p>
    <w:p w:rsidR="00DD2F4E" w:rsidRDefault="00DD2F4E"/>
    <w:sectPr w:rsidR="00DD2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90C"/>
    <w:rsid w:val="00B02407"/>
    <w:rsid w:val="00DD2F4E"/>
    <w:rsid w:val="00F24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46093"/>
  <w15:chartTrackingRefBased/>
  <w15:docId w15:val="{7BB71837-9976-4860-A089-31639CED2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249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2490C"/>
  </w:style>
  <w:style w:type="character" w:customStyle="1" w:styleId="eop">
    <w:name w:val="eop"/>
    <w:basedOn w:val="DefaultParagraphFont"/>
    <w:rsid w:val="00F2490C"/>
  </w:style>
  <w:style w:type="character" w:customStyle="1" w:styleId="advancedproofingissue">
    <w:name w:val="advancedproofingissue"/>
    <w:basedOn w:val="DefaultParagraphFont"/>
    <w:rsid w:val="00F2490C"/>
  </w:style>
  <w:style w:type="character" w:customStyle="1" w:styleId="contextualspellingandgrammarerror">
    <w:name w:val="contextualspellingandgrammarerror"/>
    <w:basedOn w:val="DefaultParagraphFont"/>
    <w:rsid w:val="00F2490C"/>
  </w:style>
  <w:style w:type="character" w:customStyle="1" w:styleId="spellingerror">
    <w:name w:val="spellingerror"/>
    <w:basedOn w:val="DefaultParagraphFont"/>
    <w:rsid w:val="00F24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708148">
      <w:bodyDiv w:val="1"/>
      <w:marLeft w:val="0"/>
      <w:marRight w:val="0"/>
      <w:marTop w:val="0"/>
      <w:marBottom w:val="0"/>
      <w:divBdr>
        <w:top w:val="none" w:sz="0" w:space="0" w:color="auto"/>
        <w:left w:val="none" w:sz="0" w:space="0" w:color="auto"/>
        <w:bottom w:val="none" w:sz="0" w:space="0" w:color="auto"/>
        <w:right w:val="none" w:sz="0" w:space="0" w:color="auto"/>
      </w:divBdr>
      <w:divsChild>
        <w:div w:id="1095632760">
          <w:marLeft w:val="0"/>
          <w:marRight w:val="0"/>
          <w:marTop w:val="0"/>
          <w:marBottom w:val="0"/>
          <w:divBdr>
            <w:top w:val="none" w:sz="0" w:space="0" w:color="auto"/>
            <w:left w:val="none" w:sz="0" w:space="0" w:color="auto"/>
            <w:bottom w:val="none" w:sz="0" w:space="0" w:color="auto"/>
            <w:right w:val="none" w:sz="0" w:space="0" w:color="auto"/>
          </w:divBdr>
        </w:div>
        <w:div w:id="2134786990">
          <w:marLeft w:val="0"/>
          <w:marRight w:val="0"/>
          <w:marTop w:val="0"/>
          <w:marBottom w:val="0"/>
          <w:divBdr>
            <w:top w:val="none" w:sz="0" w:space="0" w:color="auto"/>
            <w:left w:val="none" w:sz="0" w:space="0" w:color="auto"/>
            <w:bottom w:val="none" w:sz="0" w:space="0" w:color="auto"/>
            <w:right w:val="none" w:sz="0" w:space="0" w:color="auto"/>
          </w:divBdr>
        </w:div>
        <w:div w:id="116874037">
          <w:marLeft w:val="0"/>
          <w:marRight w:val="0"/>
          <w:marTop w:val="0"/>
          <w:marBottom w:val="0"/>
          <w:divBdr>
            <w:top w:val="none" w:sz="0" w:space="0" w:color="auto"/>
            <w:left w:val="none" w:sz="0" w:space="0" w:color="auto"/>
            <w:bottom w:val="none" w:sz="0" w:space="0" w:color="auto"/>
            <w:right w:val="none" w:sz="0" w:space="0" w:color="auto"/>
          </w:divBdr>
        </w:div>
        <w:div w:id="734737654">
          <w:marLeft w:val="0"/>
          <w:marRight w:val="0"/>
          <w:marTop w:val="0"/>
          <w:marBottom w:val="0"/>
          <w:divBdr>
            <w:top w:val="none" w:sz="0" w:space="0" w:color="auto"/>
            <w:left w:val="none" w:sz="0" w:space="0" w:color="auto"/>
            <w:bottom w:val="none" w:sz="0" w:space="0" w:color="auto"/>
            <w:right w:val="none" w:sz="0" w:space="0" w:color="auto"/>
          </w:divBdr>
        </w:div>
        <w:div w:id="1714188394">
          <w:marLeft w:val="0"/>
          <w:marRight w:val="0"/>
          <w:marTop w:val="0"/>
          <w:marBottom w:val="0"/>
          <w:divBdr>
            <w:top w:val="none" w:sz="0" w:space="0" w:color="auto"/>
            <w:left w:val="none" w:sz="0" w:space="0" w:color="auto"/>
            <w:bottom w:val="none" w:sz="0" w:space="0" w:color="auto"/>
            <w:right w:val="none" w:sz="0" w:space="0" w:color="auto"/>
          </w:divBdr>
        </w:div>
        <w:div w:id="874346503">
          <w:marLeft w:val="0"/>
          <w:marRight w:val="0"/>
          <w:marTop w:val="0"/>
          <w:marBottom w:val="0"/>
          <w:divBdr>
            <w:top w:val="none" w:sz="0" w:space="0" w:color="auto"/>
            <w:left w:val="none" w:sz="0" w:space="0" w:color="auto"/>
            <w:bottom w:val="none" w:sz="0" w:space="0" w:color="auto"/>
            <w:right w:val="none" w:sz="0" w:space="0" w:color="auto"/>
          </w:divBdr>
        </w:div>
        <w:div w:id="1184973484">
          <w:marLeft w:val="0"/>
          <w:marRight w:val="0"/>
          <w:marTop w:val="0"/>
          <w:marBottom w:val="0"/>
          <w:divBdr>
            <w:top w:val="none" w:sz="0" w:space="0" w:color="auto"/>
            <w:left w:val="none" w:sz="0" w:space="0" w:color="auto"/>
            <w:bottom w:val="none" w:sz="0" w:space="0" w:color="auto"/>
            <w:right w:val="none" w:sz="0" w:space="0" w:color="auto"/>
          </w:divBdr>
        </w:div>
        <w:div w:id="1754161957">
          <w:marLeft w:val="0"/>
          <w:marRight w:val="0"/>
          <w:marTop w:val="0"/>
          <w:marBottom w:val="0"/>
          <w:divBdr>
            <w:top w:val="none" w:sz="0" w:space="0" w:color="auto"/>
            <w:left w:val="none" w:sz="0" w:space="0" w:color="auto"/>
            <w:bottom w:val="none" w:sz="0" w:space="0" w:color="auto"/>
            <w:right w:val="none" w:sz="0" w:space="0" w:color="auto"/>
          </w:divBdr>
        </w:div>
        <w:div w:id="786390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1</cp:revision>
  <dcterms:created xsi:type="dcterms:W3CDTF">2019-07-09T00:55:00Z</dcterms:created>
  <dcterms:modified xsi:type="dcterms:W3CDTF">2019-07-09T01:09:00Z</dcterms:modified>
</cp:coreProperties>
</file>